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  <w:keepNext w:val="1"/>
        <w:spacing w:before="400" w:after="200"/>
      </w:pPr>
      <w:r>
        <w:rPr>
          <w:rFonts w:ascii="Georgia" w:hAnsi="Georgia" w:eastAsia="Georgia" w:cs="Georgia"/>
          <w:color w:val="1F3864"/>
          <w:sz w:val="44"/>
          <w:szCs w:val="44"/>
          <w:b w:val="0"/>
          <w:bCs w:val="0"/>
        </w:rPr>
        <w:t xml:space="preserve">Quarterly report</w:t>
      </w:r>
    </w:p>
    <w:p>
      <w:pPr>
        <w:spacing w:after="160" w:line="300" w:lineRule="auto"/>
      </w:pPr>
      <w:r>
        <w:rPr>
          <w:rFonts w:ascii="Calibri" w:hAnsi="Calibri" w:eastAsia="Calibri" w:cs="Calibri"/>
          <w:sz w:val="22"/>
          <w:szCs w:val="22"/>
        </w:rPr>
        <w:t xml:space="preserve">Frontmatter configures the document that contains it, so the same file renders differently in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alibri" w:hAnsi="Calibri" w:eastAsia="Calibri" w:cs="Calibri"/>
          <w:sz w:val="22"/>
          <w:szCs w:val="22"/>
        </w:rPr>
        <w:t xml:space="preserve">two pipelines without two copies of the file.</w:t>
      </w:r>
    </w:p>
    <w:p>
      <w:pPr>
        <w:pStyle w:val="Heading2"/>
        <w:keepNext w:val="1"/>
        <w:spacing w:before="320" w:after="140"/>
      </w:pPr>
      <w:r>
        <w:rPr>
          <w:rFonts w:ascii="Georgia" w:hAnsi="Georgia" w:eastAsia="Georgia" w:cs="Georgia"/>
          <w:color w:val="2E5395"/>
          <w:sz w:val="32"/>
          <w:szCs w:val="32"/>
          <w:b w:val="0"/>
          <w:bCs w:val="0"/>
        </w:rPr>
        <w:t xml:space="preserve">Highlights</w:t>
      </w:r>
    </w:p>
    <w:tbl>
      <w:tblGrid>
        <w:gridCol w:w="2889" w:type="dxa"/>
        <w:gridCol w:w="3249" w:type="dxa"/>
        <w:gridCol w:w="2888" w:type="dxa"/>
      </w:tblGrid>
      <w:tblPr>
        <w:jc w:val="left"/>
        <w:tblW w:w="5000" w:type="pct"/>
        <w:tblLayout w:type="autofit"/>
        <w:tblCellMar>
          <w:top w:w="80" w:type="dxa"/>
          <w:left w:w="80" w:type="dxa"/>
          <w:right w:w="80" w:type="dxa"/>
          <w:bottom w:w="80" w:type="dxa"/>
        </w:tblCellMar>
        <w:tblBorders>
          <w:top w:val="single" w:sz="6" w:color=""/>
          <w:left w:val="single" w:sz="6" w:color=""/>
          <w:right w:val="single" w:sz="6" w:color=""/>
          <w:bottom w:val="single" w:sz="6" w:color=""/>
          <w:insideH w:val="single" w:sz="6" w:color=""/>
          <w:insideV w:val="single" w:sz="6" w:color=""/>
        </w:tblBorders>
      </w:tblPr>
      <w:tr>
        <w:trPr/>
        <w:tc>
          <w:tcPr>
            <w:tcW w:w="2889" w:type="dxa"/>
          </w:tcPr>
          <w:p>
            <w:pPr/>
            <w:r>
              <w:rPr>
                <w:b w:val="1"/>
                <w:bCs w:val="1"/>
                <w:shd w:val="clear" w:fill="EEF1F7"/>
              </w:rPr>
              <w:t xml:space="preserve">Region</w:t>
            </w:r>
          </w:p>
        </w:tc>
        <w:tc>
          <w:tcPr>
            <w:tcW w:w="3249" w:type="dxa"/>
          </w:tcPr>
          <w:p>
            <w:pPr>
              <w:jc w:val="right"/>
            </w:pPr>
            <w:r>
              <w:rPr>
                <w:b w:val="1"/>
                <w:bCs w:val="1"/>
                <w:shd w:val="clear" w:fill="EEF1F7"/>
              </w:rPr>
              <w:t xml:space="preserve">Revenue</w:t>
            </w:r>
          </w:p>
        </w:tc>
        <w:tc>
          <w:tcPr>
            <w:tcW w:w="2888" w:type="dxa"/>
          </w:tcPr>
          <w:p>
            <w:pPr>
              <w:jc w:val="right"/>
            </w:pPr>
            <w:r>
              <w:rPr>
                <w:b w:val="1"/>
                <w:bCs w:val="1"/>
                <w:shd w:val="clear" w:fill="EEF1F7"/>
              </w:rPr>
              <w:t xml:space="preserve">Change</w:t>
            </w:r>
          </w:p>
        </w:tc>
      </w:tr>
      <w:tr>
        <w:trPr/>
        <w:tc>
          <w:tcPr>
            <w:tcW w:w="2889" w:type="dxa"/>
          </w:tcPr>
          <w:p>
            <w:pPr/>
            <w:r>
              <w:rPr>
                <w:shd w:val="clear" w:fill="EEF1F7"/>
              </w:rPr>
              <w:t xml:space="preserve">North</w:t>
            </w:r>
          </w:p>
        </w:tc>
        <w:tc>
          <w:tcPr>
            <w:tcW w:w="3249" w:type="dxa"/>
          </w:tcPr>
          <w:p>
            <w:pPr>
              <w:jc w:val="right"/>
            </w:pPr>
            <w:r>
              <w:rPr>
                <w:shd w:val="clear" w:fill="EEF1F7"/>
              </w:rPr>
              <w:t xml:space="preserve">1,204</w:t>
            </w:r>
          </w:p>
        </w:tc>
        <w:tc>
          <w:tcPr>
            <w:tcW w:w="2888" w:type="dxa"/>
          </w:tcPr>
          <w:p>
            <w:pPr>
              <w:jc w:val="right"/>
            </w:pPr>
            <w:r>
              <w:rPr>
                <w:shd w:val="clear" w:fill="EEF1F7"/>
              </w:rPr>
              <w:t xml:space="preserve">+8.2%</w:t>
            </w:r>
          </w:p>
        </w:tc>
      </w:tr>
      <w:tr>
        <w:trPr/>
        <w:tc>
          <w:tcPr>
            <w:tcW w:w="2889" w:type="dxa"/>
          </w:tcPr>
          <w:p>
            <w:pPr/>
            <w:r>
              <w:rPr>
                <w:shd w:val="clear" w:fill="EEF1F7"/>
              </w:rPr>
              <w:t xml:space="preserve">South</w:t>
            </w:r>
          </w:p>
        </w:tc>
        <w:tc>
          <w:tcPr>
            <w:tcW w:w="3249" w:type="dxa"/>
          </w:tcPr>
          <w:p>
            <w:pPr>
              <w:jc w:val="right"/>
            </w:pPr>
            <w:r>
              <w:rPr>
                <w:shd w:val="clear" w:fill="EEF1F7"/>
              </w:rPr>
              <w:t xml:space="preserve">988</w:t>
            </w:r>
          </w:p>
        </w:tc>
        <w:tc>
          <w:tcPr>
            <w:tcW w:w="2888" w:type="dxa"/>
          </w:tcPr>
          <w:p>
            <w:pPr>
              <w:jc w:val="right"/>
            </w:pPr>
            <w:r>
              <w:rPr>
                <w:shd w:val="clear" w:fill="EEF1F7"/>
              </w:rPr>
              <w:t xml:space="preserve">-1.1%</w:t>
            </w:r>
          </w:p>
        </w:tc>
      </w:tr>
      <w:tr>
        <w:trPr/>
        <w:tc>
          <w:tcPr>
            <w:tcW w:w="2889" w:type="dxa"/>
          </w:tcPr>
          <w:p>
            <w:pPr/>
            <w:r>
              <w:rPr>
                <w:shd w:val="clear" w:fill="EEF1F7"/>
              </w:rPr>
              <w:t xml:space="preserve">East</w:t>
            </w:r>
          </w:p>
        </w:tc>
        <w:tc>
          <w:tcPr>
            <w:tcW w:w="3249" w:type="dxa"/>
          </w:tcPr>
          <w:p>
            <w:pPr>
              <w:jc w:val="right"/>
            </w:pPr>
            <w:r>
              <w:rPr>
                <w:shd w:val="clear" w:fill="EEF1F7"/>
              </w:rPr>
              <w:t xml:space="preserve">1,533</w:t>
            </w:r>
          </w:p>
        </w:tc>
        <w:tc>
          <w:tcPr>
            <w:tcW w:w="2888" w:type="dxa"/>
          </w:tcPr>
          <w:p>
            <w:pPr>
              <w:jc w:val="right"/>
            </w:pPr>
            <w:r>
              <w:rPr>
                <w:shd w:val="clear" w:fill="EEF1F7"/>
              </w:rPr>
              <w:t xml:space="preserve">+12.4%</w:t>
            </w:r>
          </w:p>
        </w:tc>
      </w:tr>
    </w:tbl>
    <w:p>
      <w:pPr>
        <w:pStyle w:val="Heading2"/>
        <w:keepNext w:val="1"/>
        <w:spacing w:before="320" w:after="140"/>
      </w:pPr>
      <w:r>
        <w:rPr>
          <w:rFonts w:ascii="Georgia" w:hAnsi="Georgia" w:eastAsia="Georgia" w:cs="Georgia"/>
          <w:color w:val="2E5395"/>
          <w:sz w:val="32"/>
          <w:szCs w:val="32"/>
          <w:b w:val="0"/>
          <w:bCs w:val="0"/>
        </w:rPr>
        <w:t xml:space="preserve">Notes</w:t>
      </w:r>
    </w:p>
    <w:p>
      <w:pPr>
        <w:spacing w:after="160" w:line="300" w:lineRule="auto"/>
      </w:pPr>
      <w:r>
        <w:rPr>
          <w:rFonts w:ascii="Calibri" w:hAnsi="Calibri" w:eastAsia="Calibri" w:cs="Calibri"/>
          <w:sz w:val="22"/>
          <w:szCs w:val="22"/>
        </w:rPr>
        <w:t xml:space="preserve">The </w:t>
      </w:r>
      <w:r>
        <w:rPr>
          <w:rFonts w:ascii="Consolas" w:hAnsi="Consolas" w:eastAsia="Consolas" w:cs="Consolas"/>
          <w:color w:val="1F3864"/>
          <w:sz w:val="18"/>
          <w:szCs w:val="18"/>
        </w:rPr>
        <w:t xml:space="preserve">theme:</w:t>
      </w:r>
      <w:r>
        <w:rPr>
          <w:rFonts w:ascii="Calibri" w:hAnsi="Calibri" w:eastAsia="Calibri" w:cs="Calibri"/>
          <w:sz w:val="22"/>
          <w:szCs w:val="22"/>
        </w:rPr>
        <w:t xml:space="preserve"> key names a look that ships with the library. Everything under </w:t>
      </w:r>
      <w:r>
        <w:rPr>
          <w:rFonts w:ascii="Consolas" w:hAnsi="Consolas" w:eastAsia="Consolas" w:cs="Consolas"/>
          <w:color w:val="1F3864"/>
          <w:sz w:val="18"/>
          <w:szCs w:val="18"/>
        </w:rPr>
        <w:t xml:space="preserve">options:</w:t>
      </w:r>
      <w:r>
        <w:rPr>
          <w:rFonts w:ascii="Calibri" w:hAnsi="Calibri" w:eastAsia="Calibri" w:cs="Calibri"/>
          <w:sz w:val="22"/>
          <w:szCs w:val="22"/>
        </w:rPr>
        <w:t xml:space="preserve"> and</w:t>
      </w:r>
      <w:r>
        <w:rPr>
          <w:rFonts w:ascii="Calibri" w:hAnsi="Calibri" w:eastAsia="Calibri" w:cs="Calibri"/>
          <w:sz w:val="22"/>
          <w:szCs w:val="22"/>
        </w:rPr>
        <w:t xml:space="preserve"> </w:t>
      </w:r>
      <w:r>
        <w:rPr>
          <w:rFonts w:ascii="Consolas" w:hAnsi="Consolas" w:eastAsia="Consolas" w:cs="Consolas"/>
          <w:color w:val="1F3864"/>
          <w:sz w:val="18"/>
          <w:szCs w:val="18"/>
        </w:rPr>
        <w:t xml:space="preserve">styles:</w:t>
      </w:r>
      <w:r>
        <w:rPr>
          <w:rFonts w:ascii="Calibri" w:hAnsi="Calibri" w:eastAsia="Calibri" w:cs="Calibri"/>
          <w:sz w:val="22"/>
          <w:szCs w:val="22"/>
        </w:rPr>
        <w:t xml:space="preserve"> is yours and overrides it.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name w:val="heading 1"/>
    <w:basedOn w:val="Normal"/>
    <w:pPr>
      <w:keepNext w:val="1"/>
      <w:spacing w:before="400" w:after="200"/>
      <w:outlineLvl w:val="0"/>
    </w:pPr>
    <w:rPr>
      <w:rFonts w:ascii="Georgia" w:hAnsi="Georgia" w:eastAsia="Georgia" w:cs="Georgia"/>
      <w:color w:val="1F3864"/>
      <w:sz w:val="44"/>
      <w:szCs w:val="44"/>
      <w:b w:val="0"/>
      <w:bCs w:val="0"/>
    </w:rPr>
  </w:style>
  <w:style w:type="paragraph" w:styleId="Heading2">
    <w:name w:val="heading 2"/>
    <w:basedOn w:val="Normal"/>
    <w:pPr>
      <w:keepNext w:val="1"/>
      <w:spacing w:before="320" w:after="140"/>
      <w:outlineLvl w:val="1"/>
    </w:pPr>
    <w:rPr>
      <w:rFonts w:ascii="Georgia" w:hAnsi="Georgia" w:eastAsia="Georgia" w:cs="Georgia"/>
      <w:color w:val="2E5395"/>
      <w:sz w:val="32"/>
      <w:szCs w:val="32"/>
      <w:b w:val="0"/>
      <w:bCs w:val="0"/>
    </w:rPr>
  </w:style>
  <w:style w:type="paragraph" w:styleId="Heading3">
    <w:name w:val="heading 3"/>
    <w:basedOn w:val="Normal"/>
    <w:pPr>
      <w:keepNext w:val="1"/>
      <w:spacing w:before="260" w:after="120"/>
      <w:outlineLvl w:val="2"/>
    </w:pPr>
    <w:rPr>
      <w:rFonts w:ascii="Georgia" w:hAnsi="Georgia" w:eastAsia="Georgia" w:cs="Georgia"/>
      <w:color w:val="2E5395"/>
      <w:sz w:val="26"/>
      <w:szCs w:val="26"/>
      <w:b w:val="1"/>
      <w:bCs w:val="1"/>
    </w:rPr>
  </w:style>
  <w:style w:type="paragraph" w:styleId="Heading4">
    <w:name w:val="heading 4"/>
    <w:basedOn w:val="Normal"/>
    <w:pPr>
      <w:keepNext w:val="1"/>
      <w:spacing w:before="220" w:after="100"/>
      <w:outlineLvl w:val="3"/>
    </w:pPr>
    <w:rPr>
      <w:color w:val="1F3864"/>
      <w:sz w:val="24"/>
      <w:szCs w:val="24"/>
      <w:b w:val="1"/>
      <w:bCs w:val="1"/>
      <w:i w:val="1"/>
      <w:iCs w:val="1"/>
    </w:rPr>
  </w:style>
  <w:style w:type="paragraph" w:styleId="Heading5">
    <w:name w:val="heading 5"/>
    <w:basedOn w:val="Normal"/>
    <w:pPr>
      <w:keepNext w:val="1"/>
      <w:spacing w:before="200" w:after="80"/>
      <w:outlineLvl w:val="4"/>
    </w:pPr>
    <w:rPr>
      <w:color w:val="1F3864"/>
      <w:sz w:val="22"/>
      <w:szCs w:val="22"/>
      <w:b w:val="1"/>
      <w:bCs w:val="1"/>
    </w:rPr>
  </w:style>
  <w:style w:type="paragraph" w:styleId="Heading6">
    <w:name w:val="heading 6"/>
    <w:basedOn w:val="Normal"/>
    <w:pPr>
      <w:keepNext w:val="1"/>
      <w:spacing w:before="200" w:after="80"/>
      <w:outlineLvl w:val="5"/>
    </w:pPr>
    <w:rPr>
      <w:color w:val="1F3864"/>
      <w:sz w:val="22"/>
      <w:szCs w:val="22"/>
      <w:i w:val="1"/>
      <w:iCs w:val="1"/>
    </w:rPr>
  </w:style>
  <w:style w:type="paragraph" w:styleId="IntenseQuote">
    <w:name w:val="IntenseQuote"/>
    <w:basedOn w:val="Normal"/>
    <w:pPr>
      <w:ind w:left="720" w:right="720" w:firstLine="0" w:hanging="0"/>
      <w:spacing w:before="160" w:after="160"/>
    </w:pPr>
    <w:rPr>
      <w:color w:val="2E5395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2026-10-24T18:32:23+00:00</dcterms:created>
  <dcterms:modified xsi:type="dcterms:W3CDTF">2026-10-24T18:32:23+00:00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